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8D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深圳市星盟慈善基金会</w:t>
      </w:r>
    </w:p>
    <w:p w14:paraId="4642A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工作总结和2026年度工作计划</w:t>
      </w:r>
    </w:p>
    <w:p w14:paraId="056EE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526C4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引言</w:t>
      </w:r>
    </w:p>
    <w:p w14:paraId="562AD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星盟慈善（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以下简称“星盟基金会”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登记机关为深圳市民政局。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星盟慈善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基金会</w:t>
      </w:r>
      <w:r>
        <w:rPr>
          <w:rFonts w:hint="eastAsia" w:ascii="仿宋_GB2312" w:hAnsi="仿宋_GB2312" w:eastAsia="仿宋_GB2312" w:cs="仿宋_GB2312"/>
          <w:sz w:val="32"/>
          <w:szCs w:val="32"/>
        </w:rPr>
        <w:t>以关爱和扶持弱势群体，扶持和资助贫困弱势群体开展就业培训公益项目；资助学校建设、改善教学设施项目等助学公益事业为主要业务范围。</w:t>
      </w:r>
    </w:p>
    <w:p w14:paraId="11B05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星盟慈善</w:t>
      </w:r>
      <w:r>
        <w:rPr>
          <w:rFonts w:hint="eastAsia" w:ascii="仿宋_GB2312" w:hAnsi="仿宋_GB2312" w:eastAsia="仿宋_GB2312" w:cs="仿宋_GB2312"/>
          <w:sz w:val="32"/>
          <w:szCs w:val="32"/>
        </w:rPr>
        <w:t>基金会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推动业务创新和规范治理</w:t>
      </w:r>
      <w:r>
        <w:rPr>
          <w:rFonts w:hint="eastAsia" w:ascii="仿宋_GB2312" w:hAnsi="仿宋_GB2312" w:eastAsia="仿宋_GB2312" w:cs="仿宋_GB2312"/>
          <w:sz w:val="32"/>
          <w:szCs w:val="32"/>
        </w:rPr>
        <w:t>的关键一年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基金会以“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益路童行，点亮未来</w:t>
      </w:r>
      <w:r>
        <w:rPr>
          <w:rFonts w:hint="eastAsia" w:ascii="仿宋_GB2312" w:hAnsi="仿宋_GB2312" w:eastAsia="仿宋_GB2312" w:cs="仿宋_GB2312"/>
          <w:sz w:val="32"/>
          <w:szCs w:val="32"/>
        </w:rPr>
        <w:t>”为宗旨，聚焦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教育公益</w:t>
      </w:r>
      <w:r>
        <w:rPr>
          <w:rFonts w:hint="eastAsia" w:ascii="仿宋_GB2312" w:hAnsi="仿宋_GB2312" w:eastAsia="仿宋_GB2312" w:cs="仿宋_GB2312"/>
          <w:sz w:val="32"/>
          <w:szCs w:val="32"/>
        </w:rPr>
        <w:t>领域，重点项目方向包括青少年健康、教育资助及中小学教育设施设备等。</w:t>
      </w:r>
    </w:p>
    <w:p w14:paraId="6DCD62A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2025年主要公益活动</w:t>
      </w:r>
    </w:p>
    <w:p w14:paraId="75C90B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2025年，基金会在《基金会管理条例》《民间非营利组织会计制度》等法规指引下，坚守“关爱和扶持弱势群体，助力助学公益事业”的初心使命，稳步推进各项公益项目，完善内部治理结构，规范财务收支管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理，全年工作取得阶段性成效。深圳海鹏会计师事务所对基金会2025年度财务报表出具了无保留审计意见，确认财务状况及业务活动成果公允反映。</w:t>
      </w:r>
    </w:p>
    <w:p w14:paraId="7E2CEF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（一）坚守公益初心，项目实施成效显著</w:t>
      </w:r>
    </w:p>
    <w:p w14:paraId="4E7BA6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2025年，基金会聚焦青少年健康成长与弱势群体帮扶，统筹推进5个核心公益项目，累计公益事业支出1,049,480.16元，占上年末净资产比例为52.01%。</w:t>
      </w:r>
    </w:p>
    <w:p w14:paraId="6E85BA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中“益路童行2025”项目持续深化，投入610,223.37元开展健康科普、素质课程、物资捐赠等多场景活动，联动城市与偏远地区青少年共享优质公益资源。“关爱农村弱势群体健康公益培训二期”投入256,752.65元，此外大病患者救助计划、阳光慈善工程等项目有序推进，精准帮扶特殊群体。</w:t>
      </w:r>
    </w:p>
    <w:p w14:paraId="225415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心项目“益路童行2025”项目成效显著，项目持续深耕“学校+社区”双场景，开展29场线下科普活动，近13000名师生、居民沉浸式参与。针对不同年龄段学生的认知差异，研发糖尿病、呼吸疾病、特应性皮炎三大系列标准化课程，通过情景扮演、趣味实验、互动游戏等形式，让抽象医学知识变得生动易懂。</w:t>
      </w:r>
    </w:p>
    <w:p w14:paraId="725778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同时，在全国10个城市的13家医院举办11场KiDS快乐营，超过500名1型糖尿病患儿及家属参与，通过专家讲座、亲子互动课程等形式，有效提升患儿心理韧性与家长控糖管理能力，获得合作单位广泛认可。</w:t>
      </w:r>
    </w:p>
    <w:p w14:paraId="517324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，在大鹏新区相关部门指导下，基金会与广西巴马县东山乡弄山村签订了对口帮扶协议，启动对口帮扶、关爱困难村民、探索乡村教育公益行动等工作。基金会在乡村振兴领域的教育帮扶工作，获得了大鹏新区对口办的荣誉认可。</w:t>
      </w:r>
    </w:p>
    <w:p w14:paraId="50954C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（二）完善治理结构，规范内部管理运营</w:t>
      </w:r>
    </w:p>
    <w:p w14:paraId="3C110F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基金会以规范化建设为抓手，通过两次理事会会议推动多项治理优化举措。6月召开的理事会审议通过注册地址变更事宜，将原地址变更为深圳市大鹏新区葵涌街道金葵东路19号4楼社会组织培育发展基地，优化了办公与服务布局；10月理事会完成章程完善修改，明确公益项目实施流程、财务审批规范等核心内容，并根据发展需要调整理事与监事成员，进一步强化决策与监督机制。调整后，基金会理事会由5名成员组成，均具备相关领域专业背景或公益经验，确保决策的专业性。</w:t>
      </w:r>
    </w:p>
    <w:p w14:paraId="3CF445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日常管理中，基金会建立健全内部控制体系，严格执行财务管理制度与项目执行标准。全年管理费用支出21,675.31元，占总支出的2.02%，实现了低成本高效运营。同时，强化人员队伍建设，年末员工人数2人，人均月工资7500元，保障工作人员稳定履职。</w:t>
      </w:r>
    </w:p>
    <w:p w14:paraId="4465D6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（二）规范财务收支，保障资金使用透明</w:t>
      </w:r>
    </w:p>
    <w:p w14:paraId="462B28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基金会财务运行规范有序，收支结构合理。全年总收入1,086,785.24元，其中捐赠收入993,234.00元（含货币资金811,000.00元、实物资产182,234.00元），投资收益93,398.17元，其他收入153.07元；总支出1,071,559.47元，主要用于业务活动成本与必要管理支出。</w:t>
      </w:r>
    </w:p>
    <w:p w14:paraId="00C2F3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至2025年12月31日，基金会资产总额2,043,885.41元，其中货币资金55,948.37元，对外投资1,800,000.00元，存货187,937.04元；负债总额10,724.34元，均为流动负债；净资产总额2,033,161.07元，其中非限定性净资产1,616,001.45元，限定性净资产417,159.62元。资金使用严格遵循捐赠协议与预算管理要求，大额支出经理事会审议，财务数据真实完整，接受专业审计监督，确保每一笔善款都用在公益实处。</w:t>
      </w:r>
    </w:p>
    <w:p w14:paraId="5F40AD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三、正视现存挑战，明确未来发展方向</w:t>
      </w:r>
    </w:p>
    <w:p w14:paraId="24F045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回顾2025年工作，虽取得一定成效，但仍存在不足：一是志愿者时间碎片化与专业匹配度不足，协调成本较高；二是课程适配不同年龄段受众与社区群体的难度较大；三是项目效果追踪缺乏数字化工具支撑。针对这些问题，基金会已着手建立稳定志愿者招募培训机制，设计梯度化课程体系，并计划引入数字化评估手段。</w:t>
      </w:r>
    </w:p>
    <w:p w14:paraId="2A1AF00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四、2026年工作计划</w:t>
      </w:r>
    </w:p>
    <w:p w14:paraId="6E38CF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2026年，基金会将持续推进项目管理能力和内部治理。在项目方面，重点推进三方面工作：</w:t>
      </w:r>
    </w:p>
    <w:p w14:paraId="0ED86C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一是扩大公益覆盖面，在现有城市基础上拓展更多服务区域。同时根据我市、大鹏新区发展要求，继续支持扶贫、济困、助学的重点资助项目，持续践行星盟公益战略落地。</w:t>
      </w:r>
    </w:p>
    <w:p w14:paraId="0C9368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拓展项目形式，丰富线上线下科普形式，惠及更多群体。围绕星盟发展战略和员工公益实践意愿，探索开展“一对一助学”“可持续童行营”“体育公益”等公益活动，资助更多城乡青少年获得教育公益资源，扩大星盟基金会在教育公益领域本地影响力。</w:t>
      </w:r>
    </w:p>
    <w:p w14:paraId="222010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三是持续优化项目质量，完善益起童行科普课程体系与快乐营执行管理流程，提升公益服务专业性。</w:t>
      </w:r>
    </w:p>
    <w:p w14:paraId="641BF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在治理方面：将进一步规范内部治理，提升财务透明度，主动接受社会监督，推动基金会高质量发展，推动基金会评级工作和相关资格申请工作。同时积极推动党支部筹建工作，积极开展党建+慈善活动；</w:t>
      </w:r>
    </w:p>
    <w:p w14:paraId="554300B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五、结语</w:t>
      </w:r>
    </w:p>
    <w:p w14:paraId="53273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2026年，星盟基金会</w:t>
      </w:r>
      <w:r>
        <w:rPr>
          <w:rFonts w:hint="eastAsia" w:ascii="仿宋_GB2312" w:hAnsi="仿宋_GB2312" w:eastAsia="仿宋_GB2312" w:cs="仿宋_GB2312"/>
          <w:sz w:val="32"/>
          <w:szCs w:val="32"/>
        </w:rPr>
        <w:t>将继续以“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益路童行</w:t>
      </w:r>
      <w:r>
        <w:rPr>
          <w:rFonts w:hint="eastAsia" w:ascii="仿宋_GB2312" w:hAnsi="仿宋_GB2312" w:eastAsia="仿宋_GB2312" w:cs="仿宋_GB2312"/>
          <w:sz w:val="32"/>
          <w:szCs w:val="32"/>
        </w:rPr>
        <w:t>”为核心理念，在助力共同富裕的道路上探索创新模式。我们坚信，通过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党建引领、专业高效</w:t>
      </w:r>
      <w:r>
        <w:rPr>
          <w:rFonts w:hint="eastAsia" w:ascii="仿宋_GB2312" w:hAnsi="仿宋_GB2312" w:eastAsia="仿宋_GB2312" w:cs="仿宋_GB2312"/>
          <w:sz w:val="32"/>
          <w:szCs w:val="32"/>
        </w:rPr>
        <w:t>的运作，能够激发更多社会力量参与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公益事业，让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社会责任</w:t>
      </w:r>
      <w:r>
        <w:rPr>
          <w:rFonts w:hint="eastAsia" w:ascii="仿宋_GB2312" w:hAnsi="仿宋_GB2312" w:eastAsia="仿宋_GB2312" w:cs="仿宋_GB2312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儿童关怀</w:t>
      </w:r>
      <w:r>
        <w:rPr>
          <w:rFonts w:hint="eastAsia" w:ascii="仿宋_GB2312" w:hAnsi="仿宋_GB2312" w:eastAsia="仿宋_GB2312" w:cs="仿宋_GB2312"/>
          <w:sz w:val="32"/>
          <w:szCs w:val="32"/>
        </w:rPr>
        <w:t>同频共振。</w:t>
      </w:r>
    </w:p>
    <w:p w14:paraId="5353C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DA3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深圳市星盟慈善基金会</w:t>
      </w:r>
    </w:p>
    <w:p w14:paraId="1F44E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C977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E500FA"/>
    <w:multiLevelType w:val="singleLevel"/>
    <w:tmpl w:val="23E500F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20860"/>
    <w:rsid w:val="07252999"/>
    <w:rsid w:val="07C11740"/>
    <w:rsid w:val="08AA23AF"/>
    <w:rsid w:val="0CFA366B"/>
    <w:rsid w:val="0FB2337A"/>
    <w:rsid w:val="0FBE3C06"/>
    <w:rsid w:val="1185547F"/>
    <w:rsid w:val="20406797"/>
    <w:rsid w:val="39057019"/>
    <w:rsid w:val="4B272CCA"/>
    <w:rsid w:val="4B6C4969"/>
    <w:rsid w:val="57976864"/>
    <w:rsid w:val="6BD30F58"/>
    <w:rsid w:val="720F7FD6"/>
    <w:rsid w:val="7890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614</Words>
  <Characters>640</Characters>
  <Lines>0</Lines>
  <Paragraphs>0</Paragraphs>
  <TotalTime>8</TotalTime>
  <ScaleCrop>false</ScaleCrop>
  <LinksUpToDate>false</LinksUpToDate>
  <CharactersWithSpaces>640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2025-03-21T06:59:00Z</dcterms:created>
  <dc:creator>23863</dc:creator>
  <cp:lastModifiedBy>梅玲</cp:lastModifiedBy>
  <dcterms:modified xsi:type="dcterms:W3CDTF">2026-03-31T04:05:19Z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eyJoZGlkIjoiNTAzZWExNWVhODAyYmU5ODU0NTM3ZTZhYTMxMzI0YzIiLCJ1c2VySWQiOiIzNzg0MTgzOTgifQ==</vt:lpwstr>
  </property>
  <property fmtid="{D5CDD505-2E9C-101B-9397-08002B2CF9AE}" pid="4" name="ICV">
    <vt:lpwstr>B5691BEB062D471ABD27F8B84FE309DF_12</vt:lpwstr>
  </property>
</Properties>
</file>